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F99" w:rsidRDefault="00AF1F99" w:rsidP="00AF1F99">
      <w:pPr>
        <w:jc w:val="center"/>
      </w:pPr>
      <w:r>
        <w:rPr>
          <w:b/>
          <w:bCs/>
        </w:rPr>
        <w:t>РОССИЙСКАЯ ФЕДЕРАЦИЯ</w:t>
      </w:r>
    </w:p>
    <w:p w:rsidR="00AF1F99" w:rsidRPr="00217AB2" w:rsidRDefault="00AF1F99" w:rsidP="00AF1F9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AF1F99" w:rsidRDefault="00AF1F99" w:rsidP="00AF1F99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AF1F99" w:rsidRDefault="00AF1F99" w:rsidP="00AF1F99">
      <w:pPr>
        <w:pStyle w:val="a3"/>
      </w:pPr>
    </w:p>
    <w:p w:rsidR="00AF1F99" w:rsidRPr="00217AB2" w:rsidRDefault="00AF1F99" w:rsidP="00AF1F9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AF1F99" w:rsidRPr="00217AB2" w:rsidRDefault="00AF1F99" w:rsidP="00AF1F9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AF1F99" w:rsidRPr="00217AB2" w:rsidRDefault="00AF1F99" w:rsidP="00AF1F99">
      <w:pPr>
        <w:pStyle w:val="a3"/>
        <w:jc w:val="center"/>
        <w:rPr>
          <w:b w:val="0"/>
          <w:bCs w:val="0"/>
          <w:sz w:val="28"/>
          <w:szCs w:val="28"/>
        </w:rPr>
      </w:pPr>
    </w:p>
    <w:p w:rsidR="00AF1F99" w:rsidRDefault="00AF1F99" w:rsidP="00AF1F99">
      <w:pPr>
        <w:pStyle w:val="a3"/>
        <w:jc w:val="center"/>
      </w:pPr>
      <w:r>
        <w:t>от 20.0</w:t>
      </w:r>
      <w:r w:rsidR="0068564F">
        <w:t>7</w:t>
      </w:r>
      <w:r>
        <w:t>.201</w:t>
      </w:r>
      <w:r w:rsidR="0068564F">
        <w:t>5</w:t>
      </w:r>
      <w:r>
        <w:t xml:space="preserve"> года  №</w:t>
      </w:r>
      <w:r w:rsidR="00E638FC">
        <w:t>113</w:t>
      </w:r>
    </w:p>
    <w:p w:rsidR="00AF1F99" w:rsidRDefault="00AF1F99" w:rsidP="00AF1F99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AF1F99" w:rsidRDefault="00AF1F99" w:rsidP="00AF1F99"/>
    <w:p w:rsidR="00AF1F99" w:rsidRDefault="00AF1F99" w:rsidP="00AF1F99"/>
    <w:p w:rsidR="00AF1F99" w:rsidRDefault="00AF1F99" w:rsidP="00AF1F99">
      <w:pPr>
        <w:jc w:val="center"/>
      </w:pPr>
      <w:r>
        <w:t xml:space="preserve">О внесении изменений в постановление </w:t>
      </w:r>
      <w:bookmarkStart w:id="0" w:name="OLE_LINK1"/>
      <w:r>
        <w:t xml:space="preserve">Администрации </w:t>
      </w:r>
      <w:proofErr w:type="spellStart"/>
      <w:r>
        <w:t>Колобовского</w:t>
      </w:r>
      <w:proofErr w:type="spellEnd"/>
      <w:r>
        <w:t xml:space="preserve"> городского поселения от 06.05.2013 № 63 «Об утверждении плана мероприятий («дорожной карты») «Изменения в отраслях социальной сферы, направленные  на повышение эффективности сферы, направленные на повышение эффективности сферы культуры в </w:t>
      </w:r>
      <w:proofErr w:type="spellStart"/>
      <w:r>
        <w:t>Колобовском</w:t>
      </w:r>
      <w:proofErr w:type="spellEnd"/>
      <w:r>
        <w:t xml:space="preserve"> городском поселении»</w:t>
      </w:r>
    </w:p>
    <w:bookmarkEnd w:id="0"/>
    <w:p w:rsidR="004E7F40" w:rsidRDefault="0068564F">
      <w:r>
        <w:t xml:space="preserve">  </w:t>
      </w:r>
    </w:p>
    <w:p w:rsidR="00957088" w:rsidRDefault="00957088" w:rsidP="00957088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t xml:space="preserve">       </w:t>
      </w:r>
      <w:r w:rsidRPr="00957088">
        <w:rPr>
          <w:rFonts w:ascii="Times New Roman" w:hAnsi="Times New Roman" w:cs="Times New Roman"/>
          <w:b w:val="0"/>
          <w:sz w:val="28"/>
          <w:szCs w:val="28"/>
        </w:rPr>
        <w:t>В соответствии с распоряжением Правительства Иван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957088">
        <w:rPr>
          <w:rFonts w:ascii="Times New Roman" w:hAnsi="Times New Roman" w:cs="Times New Roman"/>
          <w:b w:val="0"/>
          <w:sz w:val="28"/>
          <w:szCs w:val="28"/>
        </w:rPr>
        <w:t>вской области от 18.06.2015 № 140-рп  "О внесении изменений в распоряжение Правительства Ивановской области от 26.02.2013 N 32-рп "Об утверждении плана мероприятий ("дорожной карты") "Изменения в отраслях социальной сферы, направленные на повышение эффективности сферы культуры в Ивановской области"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Администрация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городского поселения постановляет: </w:t>
      </w:r>
    </w:p>
    <w:p w:rsidR="00957088" w:rsidRDefault="00957088" w:rsidP="00957088">
      <w:pPr>
        <w:pStyle w:val="a5"/>
        <w:numPr>
          <w:ilvl w:val="0"/>
          <w:numId w:val="1"/>
        </w:numPr>
        <w:jc w:val="both"/>
        <w:rPr>
          <w:lang w:eastAsia="en-US"/>
        </w:rPr>
      </w:pPr>
      <w:r>
        <w:rPr>
          <w:lang w:eastAsia="en-US"/>
        </w:rPr>
        <w:t xml:space="preserve">Внести следующие изменения в постановление Администрации </w:t>
      </w:r>
      <w:proofErr w:type="spellStart"/>
      <w:r>
        <w:rPr>
          <w:lang w:eastAsia="en-US"/>
        </w:rPr>
        <w:t>Колобовского</w:t>
      </w:r>
      <w:proofErr w:type="spellEnd"/>
      <w:r>
        <w:rPr>
          <w:lang w:eastAsia="en-US"/>
        </w:rPr>
        <w:t xml:space="preserve"> городского поселения от 06.05.2013 № 63 «Об утверждении плана мероприятий («Дорожной карты»):</w:t>
      </w:r>
    </w:p>
    <w:p w:rsidR="00957088" w:rsidRPr="00A42A04" w:rsidRDefault="00957088" w:rsidP="00957088">
      <w:pPr>
        <w:pStyle w:val="a3"/>
        <w:jc w:val="both"/>
        <w:rPr>
          <w:b w:val="0"/>
          <w:sz w:val="28"/>
          <w:szCs w:val="28"/>
        </w:rPr>
      </w:pPr>
      <w:r>
        <w:rPr>
          <w:lang w:eastAsia="en-US"/>
        </w:rPr>
        <w:t xml:space="preserve">- </w:t>
      </w:r>
      <w:r w:rsidRPr="00957088">
        <w:rPr>
          <w:b w:val="0"/>
          <w:sz w:val="28"/>
          <w:szCs w:val="28"/>
          <w:lang w:eastAsia="en-US"/>
        </w:rPr>
        <w:t>Пункт 2 раздела</w:t>
      </w:r>
      <w:r>
        <w:rPr>
          <w:lang w:eastAsia="en-US"/>
        </w:rPr>
        <w:t xml:space="preserve">  </w:t>
      </w:r>
      <w:r>
        <w:rPr>
          <w:b w:val="0"/>
          <w:sz w:val="28"/>
          <w:szCs w:val="28"/>
        </w:rPr>
        <w:t xml:space="preserve">IV </w:t>
      </w:r>
      <w:r w:rsidRPr="00692D9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«</w:t>
      </w:r>
      <w:r w:rsidRPr="00692D9F">
        <w:rPr>
          <w:b w:val="0"/>
          <w:sz w:val="28"/>
          <w:szCs w:val="28"/>
        </w:rPr>
        <w:t xml:space="preserve">Мероприятия по совершенствованию </w:t>
      </w:r>
      <w:proofErr w:type="gramStart"/>
      <w:r w:rsidRPr="00692D9F">
        <w:rPr>
          <w:b w:val="0"/>
          <w:sz w:val="28"/>
          <w:szCs w:val="28"/>
        </w:rPr>
        <w:t xml:space="preserve">оплаты труда работников </w:t>
      </w:r>
      <w:r>
        <w:rPr>
          <w:b w:val="0"/>
          <w:sz w:val="28"/>
          <w:szCs w:val="28"/>
        </w:rPr>
        <w:t>муниципальных</w:t>
      </w:r>
      <w:r w:rsidRPr="00692D9F">
        <w:rPr>
          <w:b w:val="0"/>
          <w:sz w:val="28"/>
          <w:szCs w:val="28"/>
        </w:rPr>
        <w:t xml:space="preserve"> учреждений культуры</w:t>
      </w:r>
      <w:proofErr w:type="gramEnd"/>
      <w:r w:rsidRPr="00692D9F"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Колобовского</w:t>
      </w:r>
      <w:proofErr w:type="spellEnd"/>
      <w:r>
        <w:rPr>
          <w:b w:val="0"/>
          <w:sz w:val="28"/>
          <w:szCs w:val="28"/>
        </w:rPr>
        <w:t xml:space="preserve"> городского поселения» изложить в новой редакции: «</w:t>
      </w:r>
      <w:r w:rsidRPr="00A42A04">
        <w:rPr>
          <w:b w:val="0"/>
          <w:sz w:val="28"/>
          <w:szCs w:val="28"/>
        </w:rPr>
        <w:t xml:space="preserve">2. Показателем (индикатором), </w:t>
      </w:r>
      <w:proofErr w:type="gramStart"/>
      <w:r w:rsidRPr="00A42A04">
        <w:rPr>
          <w:b w:val="0"/>
          <w:sz w:val="28"/>
          <w:szCs w:val="28"/>
        </w:rPr>
        <w:t xml:space="preserve">характеризующим эффективность мероприятий по совершенствованию оплаты труда работников муниципальных учреждений культуры, является динамика примерных (индикативных) значений соотношения средней заработной платы работников муниципальных учреждений культуры </w:t>
      </w:r>
      <w:proofErr w:type="spellStart"/>
      <w:r w:rsidRPr="00A42A04">
        <w:rPr>
          <w:b w:val="0"/>
          <w:sz w:val="28"/>
          <w:szCs w:val="28"/>
        </w:rPr>
        <w:t>Колобовского</w:t>
      </w:r>
      <w:proofErr w:type="spellEnd"/>
      <w:r w:rsidRPr="00A42A04">
        <w:rPr>
          <w:b w:val="0"/>
          <w:sz w:val="28"/>
          <w:szCs w:val="28"/>
        </w:rPr>
        <w:t xml:space="preserve"> городского поселения, повышение оплаты труда которых предусмотрено Указом Президента Российской Федерации от 07.05.2012 N 597 "О мероприятиях по реализации государственной социальной политики", к средней заработной плате в Ивановской области:</w:t>
      </w:r>
      <w:proofErr w:type="gramEnd"/>
    </w:p>
    <w:p w:rsidR="00957088" w:rsidRPr="00692D9F" w:rsidRDefault="00957088" w:rsidP="00957088">
      <w:pPr>
        <w:pStyle w:val="a3"/>
        <w:jc w:val="right"/>
        <w:rPr>
          <w:sz w:val="28"/>
          <w:szCs w:val="28"/>
        </w:rPr>
      </w:pPr>
      <w:r w:rsidRPr="00A42A04">
        <w:rPr>
          <w:b w:val="0"/>
          <w:sz w:val="28"/>
          <w:szCs w:val="28"/>
        </w:rPr>
        <w:t>(процентов)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606"/>
        <w:gridCol w:w="1606"/>
        <w:gridCol w:w="1607"/>
        <w:gridCol w:w="1606"/>
        <w:gridCol w:w="1606"/>
        <w:gridCol w:w="1611"/>
      </w:tblGrid>
      <w:tr w:rsidR="00957088" w:rsidRPr="00692D9F" w:rsidTr="00D37FA6">
        <w:tc>
          <w:tcPr>
            <w:tcW w:w="16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957088" w:rsidP="00D37FA6">
            <w:pPr>
              <w:pStyle w:val="a6"/>
              <w:rPr>
                <w:sz w:val="28"/>
                <w:szCs w:val="28"/>
              </w:rPr>
            </w:pPr>
            <w:r w:rsidRPr="00692D9F">
              <w:rPr>
                <w:sz w:val="28"/>
                <w:szCs w:val="28"/>
              </w:rPr>
              <w:t>2013</w:t>
            </w:r>
          </w:p>
        </w:tc>
        <w:tc>
          <w:tcPr>
            <w:tcW w:w="16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957088" w:rsidP="00D37FA6">
            <w:pPr>
              <w:pStyle w:val="a6"/>
              <w:rPr>
                <w:sz w:val="28"/>
                <w:szCs w:val="28"/>
              </w:rPr>
            </w:pPr>
            <w:r w:rsidRPr="00692D9F">
              <w:rPr>
                <w:sz w:val="28"/>
                <w:szCs w:val="28"/>
              </w:rPr>
              <w:t>2014</w:t>
            </w:r>
          </w:p>
        </w:tc>
        <w:tc>
          <w:tcPr>
            <w:tcW w:w="16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957088" w:rsidP="00D37FA6">
            <w:pPr>
              <w:pStyle w:val="a6"/>
              <w:rPr>
                <w:sz w:val="28"/>
                <w:szCs w:val="28"/>
              </w:rPr>
            </w:pPr>
            <w:r w:rsidRPr="00692D9F">
              <w:rPr>
                <w:sz w:val="28"/>
                <w:szCs w:val="28"/>
              </w:rPr>
              <w:t>2015</w:t>
            </w:r>
          </w:p>
        </w:tc>
        <w:tc>
          <w:tcPr>
            <w:tcW w:w="16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957088" w:rsidP="00D37FA6">
            <w:pPr>
              <w:pStyle w:val="a6"/>
              <w:rPr>
                <w:sz w:val="28"/>
                <w:szCs w:val="28"/>
              </w:rPr>
            </w:pPr>
            <w:r w:rsidRPr="00692D9F">
              <w:rPr>
                <w:sz w:val="28"/>
                <w:szCs w:val="28"/>
              </w:rPr>
              <w:t>2016</w:t>
            </w:r>
          </w:p>
        </w:tc>
        <w:tc>
          <w:tcPr>
            <w:tcW w:w="16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957088" w:rsidP="00D37FA6">
            <w:pPr>
              <w:pStyle w:val="a6"/>
              <w:rPr>
                <w:sz w:val="28"/>
                <w:szCs w:val="28"/>
              </w:rPr>
            </w:pPr>
            <w:r w:rsidRPr="00692D9F">
              <w:rPr>
                <w:sz w:val="28"/>
                <w:szCs w:val="28"/>
              </w:rPr>
              <w:t>2017</w:t>
            </w:r>
          </w:p>
        </w:tc>
        <w:tc>
          <w:tcPr>
            <w:tcW w:w="16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57088" w:rsidRPr="00692D9F" w:rsidRDefault="00957088" w:rsidP="00D37FA6">
            <w:pPr>
              <w:pStyle w:val="a6"/>
              <w:rPr>
                <w:sz w:val="28"/>
                <w:szCs w:val="28"/>
              </w:rPr>
            </w:pPr>
            <w:r w:rsidRPr="00692D9F">
              <w:rPr>
                <w:sz w:val="28"/>
                <w:szCs w:val="28"/>
              </w:rPr>
              <w:t>2018</w:t>
            </w:r>
          </w:p>
        </w:tc>
      </w:tr>
      <w:tr w:rsidR="00957088" w:rsidRPr="00692D9F" w:rsidTr="00D37FA6"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957088" w:rsidP="00D37FA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41,3</w:t>
            </w: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957088" w:rsidP="00D37FA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60,8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957088" w:rsidP="00D37FA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61,8</w:t>
            </w: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957088" w:rsidP="00D37FA6">
            <w:pPr>
              <w:pStyle w:val="a6"/>
              <w:rPr>
                <w:sz w:val="28"/>
                <w:szCs w:val="28"/>
              </w:rPr>
            </w:pPr>
            <w:r w:rsidRPr="00692D9F">
              <w:rPr>
                <w:sz w:val="28"/>
                <w:szCs w:val="28"/>
              </w:rPr>
              <w:t>82,4</w:t>
            </w: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957088" w:rsidP="00D37FA6">
            <w:pPr>
              <w:pStyle w:val="a6"/>
              <w:rPr>
                <w:sz w:val="28"/>
                <w:szCs w:val="28"/>
              </w:rPr>
            </w:pPr>
            <w:r w:rsidRPr="00692D9F">
              <w:rPr>
                <w:sz w:val="28"/>
                <w:szCs w:val="28"/>
              </w:rPr>
              <w:t>100</w:t>
            </w:r>
          </w:p>
        </w:tc>
        <w:tc>
          <w:tcPr>
            <w:tcW w:w="16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57088" w:rsidRPr="00692D9F" w:rsidRDefault="00957088" w:rsidP="00D37FA6">
            <w:pPr>
              <w:pStyle w:val="a6"/>
              <w:rPr>
                <w:sz w:val="28"/>
                <w:szCs w:val="28"/>
              </w:rPr>
            </w:pPr>
            <w:r w:rsidRPr="00692D9F">
              <w:rPr>
                <w:sz w:val="28"/>
                <w:szCs w:val="28"/>
              </w:rPr>
              <w:t>100</w:t>
            </w:r>
          </w:p>
        </w:tc>
      </w:tr>
    </w:tbl>
    <w:p w:rsidR="00957088" w:rsidRPr="00692D9F" w:rsidRDefault="00957088" w:rsidP="00957088">
      <w:pPr>
        <w:pStyle w:val="a3"/>
        <w:widowControl w:val="0"/>
        <w:autoSpaceDE w:val="0"/>
        <w:jc w:val="center"/>
        <w:rPr>
          <w:sz w:val="28"/>
          <w:szCs w:val="28"/>
        </w:rPr>
      </w:pPr>
    </w:p>
    <w:p w:rsidR="00957088" w:rsidRPr="00692D9F" w:rsidRDefault="00957088" w:rsidP="00957088">
      <w:pPr>
        <w:pStyle w:val="a3"/>
        <w:widowControl w:val="0"/>
        <w:autoSpaceDE w:val="0"/>
        <w:jc w:val="center"/>
        <w:rPr>
          <w:sz w:val="28"/>
          <w:szCs w:val="28"/>
        </w:rPr>
      </w:pPr>
      <w:r w:rsidRPr="00692D9F">
        <w:rPr>
          <w:sz w:val="28"/>
          <w:szCs w:val="28"/>
        </w:rPr>
        <w:t xml:space="preserve">Численность работников культуры учреждений культуры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</w:p>
    <w:p w:rsidR="00957088" w:rsidRPr="00692D9F" w:rsidRDefault="00957088" w:rsidP="00957088">
      <w:pPr>
        <w:widowControl w:val="0"/>
        <w:autoSpaceDE w:val="0"/>
        <w:ind w:left="720"/>
        <w:jc w:val="right"/>
      </w:pPr>
      <w:r w:rsidRPr="00692D9F">
        <w:t xml:space="preserve"> человек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705"/>
        <w:gridCol w:w="1840"/>
        <w:gridCol w:w="1279"/>
        <w:gridCol w:w="1295"/>
        <w:gridCol w:w="1517"/>
        <w:gridCol w:w="1894"/>
      </w:tblGrid>
      <w:tr w:rsidR="00957088" w:rsidRPr="00692D9F" w:rsidTr="00D37FA6">
        <w:tc>
          <w:tcPr>
            <w:tcW w:w="1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957088" w:rsidP="00D37FA6">
            <w:pPr>
              <w:pStyle w:val="a6"/>
              <w:rPr>
                <w:sz w:val="28"/>
                <w:szCs w:val="28"/>
              </w:rPr>
            </w:pPr>
            <w:r w:rsidRPr="00692D9F">
              <w:rPr>
                <w:sz w:val="28"/>
                <w:szCs w:val="28"/>
              </w:rPr>
              <w:t>2013</w:t>
            </w:r>
          </w:p>
        </w:tc>
        <w:tc>
          <w:tcPr>
            <w:tcW w:w="1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957088" w:rsidP="00D37FA6">
            <w:pPr>
              <w:pStyle w:val="a6"/>
              <w:rPr>
                <w:sz w:val="28"/>
                <w:szCs w:val="28"/>
              </w:rPr>
            </w:pPr>
            <w:r w:rsidRPr="00692D9F">
              <w:rPr>
                <w:sz w:val="28"/>
                <w:szCs w:val="28"/>
              </w:rPr>
              <w:t>2014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957088" w:rsidP="00D37FA6">
            <w:pPr>
              <w:pStyle w:val="a6"/>
              <w:rPr>
                <w:sz w:val="28"/>
                <w:szCs w:val="28"/>
              </w:rPr>
            </w:pPr>
            <w:r w:rsidRPr="00692D9F">
              <w:rPr>
                <w:sz w:val="28"/>
                <w:szCs w:val="28"/>
              </w:rPr>
              <w:t>2015</w:t>
            </w:r>
          </w:p>
        </w:tc>
        <w:tc>
          <w:tcPr>
            <w:tcW w:w="1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957088" w:rsidP="00D37FA6">
            <w:pPr>
              <w:pStyle w:val="a6"/>
              <w:rPr>
                <w:sz w:val="28"/>
                <w:szCs w:val="28"/>
              </w:rPr>
            </w:pPr>
            <w:r w:rsidRPr="00692D9F">
              <w:rPr>
                <w:sz w:val="28"/>
                <w:szCs w:val="28"/>
              </w:rPr>
              <w:t>2016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957088" w:rsidP="00D37FA6">
            <w:pPr>
              <w:pStyle w:val="a6"/>
              <w:rPr>
                <w:sz w:val="28"/>
                <w:szCs w:val="28"/>
              </w:rPr>
            </w:pPr>
            <w:r w:rsidRPr="00692D9F">
              <w:rPr>
                <w:sz w:val="28"/>
                <w:szCs w:val="28"/>
              </w:rPr>
              <w:t>2017</w:t>
            </w:r>
          </w:p>
        </w:tc>
        <w:tc>
          <w:tcPr>
            <w:tcW w:w="18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57088" w:rsidRPr="00692D9F" w:rsidRDefault="00957088" w:rsidP="00D37FA6">
            <w:pPr>
              <w:pStyle w:val="a6"/>
              <w:rPr>
                <w:sz w:val="28"/>
                <w:szCs w:val="28"/>
              </w:rPr>
            </w:pPr>
            <w:r w:rsidRPr="00692D9F">
              <w:rPr>
                <w:sz w:val="28"/>
                <w:szCs w:val="28"/>
              </w:rPr>
              <w:t>2018</w:t>
            </w:r>
          </w:p>
        </w:tc>
      </w:tr>
      <w:tr w:rsidR="00957088" w:rsidRPr="00692D9F" w:rsidTr="00D37FA6">
        <w:tc>
          <w:tcPr>
            <w:tcW w:w="1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957088" w:rsidP="00D37FA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7101DB" w:rsidP="00D37FA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7101DB" w:rsidP="00D37FA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7101DB" w:rsidP="00D37FA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5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7101DB" w:rsidP="00D37FA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57088" w:rsidRPr="00692D9F" w:rsidRDefault="007101DB" w:rsidP="00D37FA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957088" w:rsidRPr="00692D9F" w:rsidTr="00D37FA6">
        <w:tc>
          <w:tcPr>
            <w:tcW w:w="9530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57088" w:rsidRPr="00692D9F" w:rsidRDefault="00957088" w:rsidP="00D37FA6">
            <w:pPr>
              <w:pStyle w:val="a6"/>
              <w:jc w:val="right"/>
              <w:rPr>
                <w:sz w:val="28"/>
                <w:szCs w:val="28"/>
              </w:rPr>
            </w:pPr>
            <w:r w:rsidRPr="00692D9F">
              <w:rPr>
                <w:sz w:val="28"/>
                <w:szCs w:val="28"/>
              </w:rPr>
              <w:t>В процентах в 2013 году</w:t>
            </w:r>
          </w:p>
        </w:tc>
      </w:tr>
      <w:tr w:rsidR="00957088" w:rsidRPr="00692D9F" w:rsidTr="00D37FA6">
        <w:tc>
          <w:tcPr>
            <w:tcW w:w="1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957088" w:rsidP="00D37FA6">
            <w:pPr>
              <w:pStyle w:val="a6"/>
              <w:rPr>
                <w:sz w:val="28"/>
                <w:szCs w:val="28"/>
              </w:rPr>
            </w:pPr>
            <w:r w:rsidRPr="00692D9F">
              <w:rPr>
                <w:sz w:val="28"/>
                <w:szCs w:val="28"/>
              </w:rPr>
              <w:t>100</w:t>
            </w:r>
          </w:p>
        </w:tc>
        <w:tc>
          <w:tcPr>
            <w:tcW w:w="1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957088" w:rsidP="007101D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7101DB">
              <w:rPr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7101DB" w:rsidP="00D37FA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7101DB" w:rsidP="00D37FA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5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57088" w:rsidRPr="00692D9F" w:rsidRDefault="007101DB" w:rsidP="00D37FA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57088" w:rsidRPr="00692D9F" w:rsidRDefault="007101DB" w:rsidP="00D37FA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57088">
              <w:rPr>
                <w:sz w:val="28"/>
                <w:szCs w:val="28"/>
              </w:rPr>
              <w:t>0</w:t>
            </w:r>
          </w:p>
        </w:tc>
      </w:tr>
    </w:tbl>
    <w:p w:rsidR="00957088" w:rsidRDefault="007101DB" w:rsidP="007101DB">
      <w:pPr>
        <w:jc w:val="both"/>
        <w:rPr>
          <w:lang w:eastAsia="en-US"/>
        </w:rPr>
      </w:pPr>
      <w:r>
        <w:rPr>
          <w:lang w:eastAsia="en-US"/>
        </w:rPr>
        <w:t>- приложение к Плану мероприятий (дорожной карте») изложить в новой редакции (прилагается).</w:t>
      </w:r>
    </w:p>
    <w:p w:rsidR="007101DB" w:rsidRDefault="007101DB" w:rsidP="007101DB">
      <w:pPr>
        <w:jc w:val="both"/>
      </w:pPr>
      <w:r>
        <w:rPr>
          <w:lang w:eastAsia="en-US"/>
        </w:rPr>
        <w:t xml:space="preserve">     2.</w:t>
      </w:r>
      <w:r>
        <w:t xml:space="preserve"> 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директора МКУ «КДЦ КГП» Рожкову О.В. и зам. главы администрации, начальника отдела финансово - экономической деятельности </w:t>
      </w:r>
      <w:proofErr w:type="spellStart"/>
      <w:r>
        <w:t>Акифьеву</w:t>
      </w:r>
      <w:proofErr w:type="spellEnd"/>
      <w:r>
        <w:t xml:space="preserve"> Е.В.</w:t>
      </w:r>
    </w:p>
    <w:p w:rsidR="007101DB" w:rsidRDefault="007101DB" w:rsidP="007101DB">
      <w:pPr>
        <w:jc w:val="both"/>
      </w:pPr>
      <w:r>
        <w:t xml:space="preserve">     3. Опубликовать настоящее постановление в «Вестнике </w:t>
      </w:r>
      <w:proofErr w:type="spellStart"/>
      <w:r>
        <w:t>Колобовского</w:t>
      </w:r>
      <w:proofErr w:type="spellEnd"/>
      <w:r>
        <w:t xml:space="preserve"> городского поселения» и разместить на официальном сайте поселения.</w:t>
      </w:r>
    </w:p>
    <w:p w:rsidR="007101DB" w:rsidRDefault="007101DB" w:rsidP="007101DB">
      <w:pPr>
        <w:jc w:val="both"/>
      </w:pPr>
      <w:r>
        <w:t xml:space="preserve">    4. Настоящее постановление вступает в силу </w:t>
      </w:r>
      <w:r w:rsidR="000B2822">
        <w:t>с момента подписания.</w:t>
      </w:r>
    </w:p>
    <w:p w:rsidR="000B2822" w:rsidRDefault="000B2822" w:rsidP="007101DB">
      <w:pPr>
        <w:jc w:val="both"/>
      </w:pPr>
    </w:p>
    <w:p w:rsidR="000B2822" w:rsidRDefault="000B2822" w:rsidP="007101DB">
      <w:pPr>
        <w:jc w:val="both"/>
      </w:pPr>
    </w:p>
    <w:p w:rsidR="000B2822" w:rsidRDefault="000B2822" w:rsidP="007101DB">
      <w:pPr>
        <w:jc w:val="both"/>
      </w:pPr>
    </w:p>
    <w:p w:rsidR="000B2822" w:rsidRDefault="000B2822" w:rsidP="007101DB">
      <w:pPr>
        <w:jc w:val="both"/>
      </w:pPr>
    </w:p>
    <w:p w:rsidR="000B2822" w:rsidRDefault="000B2822" w:rsidP="007101DB">
      <w:pPr>
        <w:jc w:val="both"/>
      </w:pPr>
    </w:p>
    <w:p w:rsidR="007101DB" w:rsidRDefault="007101DB" w:rsidP="007101DB">
      <w:pPr>
        <w:jc w:val="both"/>
      </w:pPr>
      <w:r>
        <w:t xml:space="preserve">    </w:t>
      </w:r>
    </w:p>
    <w:p w:rsidR="007101DB" w:rsidRDefault="007101DB" w:rsidP="007101DB">
      <w:pPr>
        <w:jc w:val="both"/>
      </w:pPr>
    </w:p>
    <w:p w:rsidR="007101DB" w:rsidRDefault="007101DB" w:rsidP="007101DB">
      <w:pPr>
        <w:jc w:val="both"/>
      </w:pPr>
    </w:p>
    <w:p w:rsidR="007101DB" w:rsidRDefault="007101DB" w:rsidP="007101DB">
      <w:pPr>
        <w:jc w:val="both"/>
      </w:pPr>
      <w:r>
        <w:t>Глава Администрации</w:t>
      </w:r>
    </w:p>
    <w:p w:rsidR="007101DB" w:rsidRDefault="007101DB" w:rsidP="007101DB">
      <w:pPr>
        <w:jc w:val="both"/>
      </w:pPr>
      <w:proofErr w:type="spellStart"/>
      <w:r>
        <w:t>Колобовского</w:t>
      </w:r>
      <w:proofErr w:type="spellEnd"/>
      <w:r>
        <w:t xml:space="preserve"> городского поселения                                      И.А.Сергеева.</w:t>
      </w:r>
    </w:p>
    <w:p w:rsidR="007101DB" w:rsidRDefault="007101DB" w:rsidP="007101DB">
      <w:pPr>
        <w:jc w:val="both"/>
      </w:pPr>
    </w:p>
    <w:p w:rsidR="007101DB" w:rsidRDefault="007101DB" w:rsidP="007101DB">
      <w:pPr>
        <w:jc w:val="both"/>
        <w:rPr>
          <w:lang w:eastAsia="en-US"/>
        </w:rPr>
      </w:pPr>
    </w:p>
    <w:p w:rsidR="007101DB" w:rsidRPr="007101DB" w:rsidRDefault="007101DB" w:rsidP="00957088">
      <w:pPr>
        <w:pStyle w:val="a5"/>
        <w:ind w:left="1485"/>
        <w:jc w:val="both"/>
        <w:rPr>
          <w:b/>
          <w:lang w:eastAsia="en-US"/>
        </w:rPr>
      </w:pPr>
    </w:p>
    <w:p w:rsidR="00957088" w:rsidRPr="00957088" w:rsidRDefault="00957088" w:rsidP="00957088">
      <w:pPr>
        <w:jc w:val="both"/>
      </w:pPr>
    </w:p>
    <w:sectPr w:rsidR="00957088" w:rsidRPr="00957088" w:rsidSect="004E7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308FD"/>
    <w:multiLevelType w:val="multilevel"/>
    <w:tmpl w:val="FEEAEFA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1F99"/>
    <w:rsid w:val="000B2822"/>
    <w:rsid w:val="004E7F40"/>
    <w:rsid w:val="0068564F"/>
    <w:rsid w:val="007101DB"/>
    <w:rsid w:val="007A5340"/>
    <w:rsid w:val="00957088"/>
    <w:rsid w:val="00AF1F99"/>
    <w:rsid w:val="00E63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F9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08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F1F99"/>
    <w:rPr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AF1F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57088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957088"/>
    <w:pPr>
      <w:ind w:left="720"/>
      <w:contextualSpacing/>
    </w:pPr>
  </w:style>
  <w:style w:type="paragraph" w:customStyle="1" w:styleId="a6">
    <w:name w:val="Содержимое таблицы"/>
    <w:basedOn w:val="a"/>
    <w:rsid w:val="00957088"/>
    <w:pPr>
      <w:suppressLineNumbers/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2015-07-27T09:24:00Z</cp:lastPrinted>
  <dcterms:created xsi:type="dcterms:W3CDTF">2015-07-23T08:18:00Z</dcterms:created>
  <dcterms:modified xsi:type="dcterms:W3CDTF">2015-07-27T09:32:00Z</dcterms:modified>
</cp:coreProperties>
</file>